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MARCO LEGAL Y NORMATIVO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Nuestro proyecto de glamping se adhiere estrictamente al Decreto 26/2018 de ordenación de los campamentos de turismo de Andalucía. Esta normativa rige aspectos esenciales como la clasificación por estrellas, la distribución del terreno, las instalaciones fijas y las medidas de seguridad para garantizar la calidad y la seguridad de nuestros visitantes. 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="240" w:lineRule="auto"/>
        <w:jc w:val="both"/>
        <w:rPr>
          <w:rFonts w:ascii="Poppins SemiBold" w:cs="Poppins SemiBold" w:eastAsia="Poppins SemiBold" w:hAnsi="Poppins SemiBold"/>
          <w:b w:val="1"/>
          <w:bCs w:val="1"/>
          <w:sz w:val="24"/>
          <w:szCs w:val="24"/>
        </w:rPr>
      </w:pPr>
      <w:bookmarkStart w:colFirst="0" w:colLast="0" w:name="_hsq2wgsbnf73" w:id="0"/>
      <w:bookmarkEnd w:id="0"/>
      <w:r w:rsidDel="00000000" w:rsidR="00000000" w:rsidRPr="00000000">
        <w:rPr>
          <w:rFonts w:ascii="Poppins SemiBold" w:cs="Poppins SemiBold" w:eastAsia="Poppins SemiBold" w:hAnsi="Poppins SemiBold"/>
          <w:b w:val="1"/>
          <w:bCs w:val="1"/>
          <w:sz w:val="24"/>
          <w:szCs w:val="24"/>
          <w:rtl w:val="0"/>
        </w:rPr>
        <w:t xml:space="preserve">Cumplimiento urbanístico y ambiental</w:t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Poppins Medium" w:cs="Poppins Medium" w:eastAsia="Poppins Medium" w:hAnsi="Poppins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Además del marco turístico, Raíces Glamping respeta rigurosamente la normativa urbanística y medioambiental de la Alpujarra. Esto incluye el cumplimiento del Plan de Ordenación del Territorio de Andalucía (POTA) y la protección de la cuenca del río Guadalfeo. Hemos obtenido la licencia municipal de actividad y estamos registrados en el Registro de Turismo de Andalucía (RTA).</w:t>
      </w:r>
      <w:r w:rsidDel="00000000" w:rsidR="00000000" w:rsidRPr="00000000">
        <w:rPr>
          <w:rFonts w:ascii="Poppins SemiBold" w:cs="Poppins SemiBold" w:eastAsia="Poppins SemiBold" w:hAnsi="Poppins SemiBold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="240" w:lineRule="auto"/>
        <w:jc w:val="left"/>
        <w:rPr>
          <w:rFonts w:ascii="Poppins SemiBold" w:cs="Poppins SemiBold" w:eastAsia="Poppins SemiBold" w:hAnsi="Poppins SemiBold"/>
          <w:b w:val="1"/>
          <w:bCs w:val="1"/>
          <w:sz w:val="22"/>
          <w:szCs w:val="22"/>
        </w:rPr>
      </w:pPr>
      <w:bookmarkStart w:colFirst="0" w:colLast="0" w:name="_qqaw8z1ymq9u" w:id="1"/>
      <w:bookmarkEnd w:id="1"/>
      <w:r w:rsidDel="00000000" w:rsidR="00000000" w:rsidRPr="00000000">
        <w:rPr>
          <w:rFonts w:ascii="Poppins SemiBold" w:cs="Poppins SemiBold" w:eastAsia="Poppins SemiBold" w:hAnsi="Poppins SemiBold"/>
          <w:b w:val="1"/>
          <w:bCs w:val="1"/>
          <w:sz w:val="22"/>
          <w:szCs w:val="22"/>
          <w:rtl w:val="0"/>
        </w:rPr>
        <w:t xml:space="preserve">Estrategia competitiva: diferenciación y experiencia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Fonts w:ascii="Poppins SemiBold" w:cs="Poppins SemiBold" w:eastAsia="Poppins SemiBold" w:hAnsi="Poppins SemiBold"/>
          <w:rtl w:val="0"/>
        </w:rPr>
        <w:t xml:space="preserve">Nuestra estrategia se basa en ofrecer una experiencia exclusiva y temática, con cabañas inspiradas en continentes y una combinación única de lujo, sostenibilidad y naturaleza. Las actividades culturales, gastronómicas y de bienestar, junto con nuestro "Pasaporte del Viajero", fomentan la fidelización y garantizan un valor añadido inigualable. Todo ello se apoya en una política de precios medios-altos, justificada por la calidad y personalización de nuestra oferta.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DAFO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color w:val="274e13"/>
          <w:sz w:val="32"/>
          <w:szCs w:val="32"/>
        </w:rPr>
        <w:drawing>
          <wp:inline distB="114300" distT="114300" distL="114300" distR="114300">
            <wp:extent cx="5731200" cy="6870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7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Poppins" w:cs="Poppins" w:eastAsia="Poppins" w:hAnsi="Poppins"/>
          <w:b w:val="1"/>
          <w:bCs w:val="1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rtl w:val="0"/>
        </w:rPr>
        <w:t xml:space="preserve">BALANCE DE SITUACIÓN </w:t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Ind w:w="-70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90"/>
        <w:gridCol w:w="1575"/>
        <w:gridCol w:w="3495"/>
        <w:gridCol w:w="2160"/>
        <w:tblGridChange w:id="0">
          <w:tblGrid>
            <w:gridCol w:w="3090"/>
            <w:gridCol w:w="1575"/>
            <w:gridCol w:w="3495"/>
            <w:gridCol w:w="216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3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ACTIVO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PATRIMONIO NETO Y PASIVO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Activo no corriente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2.474.618 €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Patrimonio neto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1.000.000 €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Inmovilizado intangible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259 €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Capital aportado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1.000.000 €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Inmovilizado material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2.474.359 €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Pasivo no corriente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1.500.000 €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Activo corriente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231.808,25 €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Préstamo bancario largo plazo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1.500.000 €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Existencias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2.436 €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Pasivo corriente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206.426,25 €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Tesorería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229.372,25 €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Proveedores y acreedores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130.000 €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Deudas corto plazo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50.000 €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Hacienda y Seguridad Social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26.426,25 €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76a5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TOTAL ACTIVO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2.706.426,25 €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TOTAL PN Y PASIVO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2.706.426,25 €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4"/>
          <w:szCs w:val="24"/>
          <w:rtl w:val="0"/>
        </w:rPr>
        <w:t xml:space="preserve">RATIOS FINANCIEROS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Ind w:w="-9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15"/>
        <w:gridCol w:w="1485"/>
        <w:gridCol w:w="2265"/>
        <w:gridCol w:w="1305"/>
        <w:gridCol w:w="2970"/>
        <w:tblGridChange w:id="0">
          <w:tblGrid>
            <w:gridCol w:w="2415"/>
            <w:gridCol w:w="1485"/>
            <w:gridCol w:w="2265"/>
            <w:gridCol w:w="1305"/>
            <w:gridCol w:w="297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sz w:val="20"/>
                <w:szCs w:val="20"/>
                <w:rtl w:val="0"/>
              </w:rPr>
              <w:t xml:space="preserve">Ratio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sz w:val="20"/>
                <w:szCs w:val="20"/>
                <w:rtl w:val="0"/>
              </w:rPr>
              <w:t xml:space="preserve">Fórmula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sz w:val="20"/>
                <w:szCs w:val="20"/>
                <w:rtl w:val="0"/>
              </w:rPr>
              <w:t xml:space="preserve">Cálculo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sz w:val="20"/>
                <w:szCs w:val="20"/>
                <w:rtl w:val="0"/>
              </w:rPr>
              <w:t xml:space="preserve">Resultado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3c78d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sz w:val="20"/>
                <w:szCs w:val="20"/>
                <w:rtl w:val="0"/>
              </w:rPr>
              <w:t xml:space="preserve">Interpretación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Liquidez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Activo corriente / Pasivo corriente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231.808,25 / 206.426,25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1,12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0e0e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La empresa dispone de 1,12 € por cada euro de deuda a corto plazo. Es una situación ajustada, pero positiva.</w:t>
            </w:r>
          </w:p>
        </w:tc>
      </w:tr>
      <w:tr>
        <w:trPr>
          <w:cantSplit w:val="0"/>
          <w:trHeight w:val="10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Solvencia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Activo total / Pasivo total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2.706.426,25 / 1.706.426,25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1,59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La empresa cuenta con activos suficientes para cubrir sus deudas.</w:t>
            </w:r>
          </w:p>
        </w:tc>
      </w:tr>
      <w:tr>
        <w:trPr>
          <w:cantSplit w:val="0"/>
          <w:trHeight w:val="13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Endeudamiento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Pasivo total / Total PN y Pasivo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1.706.426,25 / 2.706.426,25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63%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El nivel de financiación ajena es elevado, pero coherente con la inversión inicial del proyecto.</w:t>
            </w:r>
          </w:p>
        </w:tc>
      </w:tr>
      <w:tr>
        <w:trPr>
          <w:cantSplit w:val="0"/>
          <w:trHeight w:val="16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b w:val="1"/>
                <w:bCs w:val="1"/>
                <w:rtl w:val="0"/>
              </w:rPr>
              <w:t xml:space="preserve">Autonomía financiera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Patrimonio neto / Total PN y Pasivo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1.000.000 / 2.706.426,25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37%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Poppins SemiBold" w:cs="Poppins SemiBold" w:eastAsia="Poppins SemiBold" w:hAnsi="Poppins SemiBold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El proyecto cuenta con una aportación propia significativa, aunque depende también de financiación externa.</w:t>
            </w:r>
          </w:p>
        </w:tc>
      </w:tr>
    </w:tbl>
    <w:p w:rsidR="00000000" w:rsidDel="00000000" w:rsidP="00000000" w:rsidRDefault="00000000" w:rsidRPr="00000000" w14:paraId="00000072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rPr/>
    </w:pPr>
    <w:r w:rsidDel="00000000" w:rsidR="00000000" w:rsidRPr="00000000">
      <w:rPr/>
      <w:drawing>
        <wp:inline distB="114300" distT="114300" distL="114300" distR="114300">
          <wp:extent cx="1009650" cy="100012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250" l="0" r="12397" t="0"/>
                  <a:stretch>
                    <a:fillRect/>
                  </a:stretch>
                </pic:blipFill>
                <pic:spPr>
                  <a:xfrm>
                    <a:off x="0" y="0"/>
                    <a:ext cx="1009650" cy="1000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1" Type="http://schemas.openxmlformats.org/officeDocument/2006/relationships/font" Target="fonts/PoppinsSemiBold-italic.ttf"/><Relationship Id="rId10" Type="http://schemas.openxmlformats.org/officeDocument/2006/relationships/font" Target="fonts/PoppinsSemiBold-bold.ttf"/><Relationship Id="rId12" Type="http://schemas.openxmlformats.org/officeDocument/2006/relationships/font" Target="fonts/PoppinsSemiBold-boldItalic.ttf"/><Relationship Id="rId9" Type="http://schemas.openxmlformats.org/officeDocument/2006/relationships/font" Target="fonts/PoppinsSemiBold-regular.ttf"/><Relationship Id="rId5" Type="http://schemas.openxmlformats.org/officeDocument/2006/relationships/font" Target="fonts/PoppinsMedium-regular.ttf"/><Relationship Id="rId6" Type="http://schemas.openxmlformats.org/officeDocument/2006/relationships/font" Target="fonts/PoppinsMedium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